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rFonts w:ascii="Tahoma" w:hAnsi="Tahoma" w:cs="Tahoma"/>
          <w:b/>
          <w:b/>
          <w:bCs/>
        </w:rPr>
      </w:pPr>
      <w:r>
        <w:rPr>
          <w:rFonts w:cs="Tahoma" w:ascii="Tahoma" w:hAnsi="Tahoma"/>
          <w:b/>
          <w:bCs/>
        </w:rPr>
        <w:t>ES PROHLÁŠENÍ O SHODĚ</w:t>
      </w:r>
    </w:p>
    <w:p>
      <w:pPr>
        <w:pStyle w:val="Normal"/>
        <w:spacing w:lineRule="auto" w:line="360"/>
        <w:rPr>
          <w:rFonts w:ascii="Tahoma" w:hAnsi="Tahoma" w:cs="Tahoma"/>
        </w:rPr>
      </w:pPr>
      <w:r>
        <w:rPr>
          <w:rFonts w:cs="Tahoma" w:ascii="Tahoma" w:hAnsi="Tahoma"/>
        </w:rPr>
        <w:t>ConQuest entertainment a.s., Hybernská 1007/20, 111 21  Praha 1, IČO: 26467909</w:t>
        <w:br/>
      </w:r>
    </w:p>
    <w:p>
      <w:pPr>
        <w:pStyle w:val="Normal"/>
        <w:spacing w:lineRule="auto" w:line="360"/>
        <w:rPr>
          <w:rFonts w:ascii="Tahoma" w:hAnsi="Tahoma" w:cs="Tahoma"/>
        </w:rPr>
      </w:pPr>
      <w:r>
        <w:rPr>
          <w:rFonts w:cs="Tahoma" w:ascii="Tahoma" w:hAnsi="Tahoma"/>
        </w:rPr>
        <w:t>Tímto potvrzujeme, že dále uvedený výrobek je ve svém konečném provedení úplný a odpovídá níže uvedeným směrnicím Evropské unie a České republiky. Prohlášení o shodě bylo vystaveno na základě:</w:t>
      </w:r>
    </w:p>
    <w:p>
      <w:pPr>
        <w:pStyle w:val="Normal"/>
        <w:spacing w:lineRule="auto" w:line="360"/>
        <w:rPr/>
      </w:pPr>
      <w:r>
        <w:rPr>
          <w:rFonts w:cs="Tahoma" w:ascii="Tahoma" w:hAnsi="Tahoma"/>
        </w:rPr>
        <w:t>certifikátu INTERTEK, číslo certifikátu SZHH01266727-001/002/003, ze dne 26.6.2018</w:t>
        <w:br/>
        <w:t xml:space="preserve"> </w:t>
        <w:br/>
      </w:r>
      <w:r>
        <w:rPr>
          <w:rFonts w:cs="Tahoma" w:ascii="Tahoma" w:hAnsi="Tahoma"/>
          <w:b/>
          <w:bCs/>
        </w:rPr>
        <w:t>Výrobek:</w:t>
      </w:r>
      <w:r>
        <w:rPr>
          <w:rFonts w:cs="Tahoma" w:ascii="Tahoma" w:hAnsi="Tahoma"/>
        </w:rPr>
        <w:t xml:space="preserve"> Elektrické auto GRO1001_GRO1005_676 </w:t>
      </w:r>
      <w:r>
        <w:rPr>
          <w:rFonts w:cs="Tahoma" w:ascii="Tahoma" w:hAnsi="Tahoma"/>
        </w:rPr>
        <w:t>BMW</w:t>
      </w:r>
      <w:r>
        <w:rPr>
          <w:rFonts w:cs="Tahoma" w:ascii="Tahoma" w:hAnsi="Tahoma"/>
        </w:rPr>
        <w:br/>
        <w:br/>
      </w:r>
      <w:r>
        <w:rPr>
          <w:rFonts w:cs="Tahoma" w:ascii="Tahoma" w:hAnsi="Tahoma"/>
          <w:b/>
          <w:bCs/>
        </w:rPr>
        <w:t>Výše uvedený výrobek je ve shodě s normami:</w:t>
      </w:r>
      <w:r>
        <w:rPr>
          <w:rFonts w:cs="Tahoma" w:ascii="Tahoma" w:hAnsi="Tahoma"/>
        </w:rPr>
        <w:br/>
        <w:t>ETSI EN 300 440 V2.1.1 SRD (Short Range devices)</w:t>
        <w:br/>
        <w:t>ETSI EN 301 489-1 V2.2.0 EMC (Electromagnetic kompatibility)</w:t>
        <w:br/>
        <w:t>ETSI EN 301 489-3 V2.1.1 EMC (Electromagnetic kompatibility)</w:t>
        <w:br/>
        <w:br/>
      </w:r>
      <w:r>
        <w:rPr>
          <w:rFonts w:cs="Tahoma" w:ascii="Tahoma" w:hAnsi="Tahoma"/>
          <w:b/>
          <w:bCs/>
        </w:rPr>
        <w:t>Směrnice:</w:t>
      </w:r>
      <w:r>
        <w:rPr>
          <w:rFonts w:cs="Tahoma" w:ascii="Tahoma" w:hAnsi="Tahoma"/>
        </w:rPr>
        <w:t xml:space="preserve"> </w:t>
        <w:br/>
        <w:t>Produkt odpovídá směrnici 2014/53/EU – článek RED 3.1 (a), 3.1. (b) and 3.2.</w:t>
      </w:r>
    </w:p>
    <w:p>
      <w:pPr>
        <w:pStyle w:val="Normal"/>
        <w:spacing w:lineRule="auto" w:line="360"/>
        <w:rPr>
          <w:rFonts w:ascii="Tahoma" w:hAnsi="Tahoma" w:cs="Tahoma"/>
        </w:rPr>
      </w:pPr>
      <w:r>
        <w:rPr>
          <w:rFonts w:cs="Tahoma" w:ascii="Tahoma" w:hAnsi="Tahoma"/>
        </w:rPr>
        <w:t>Místo vydání:   Praha</w:t>
        <w:tab/>
        <w:tab/>
        <w:tab/>
        <w:tab/>
        <w:tab/>
        <w:tab/>
        <w:tab/>
        <w:t>Jméno: Ing. Radim Kalo</w:t>
      </w:r>
    </w:p>
    <w:p>
      <w:pPr>
        <w:pStyle w:val="Normal"/>
        <w:spacing w:lineRule="auto" w:line="360"/>
        <w:rPr>
          <w:rFonts w:ascii="Tahoma" w:hAnsi="Tahoma" w:cs="Tahoma"/>
        </w:rPr>
      </w:pPr>
      <w:r>
        <w:rPr>
          <w:rFonts w:cs="Tahoma" w:ascii="Tahoma" w:hAnsi="Tahoma"/>
        </w:rPr>
        <w:t>Datum vydání: 13.3.2019</w:t>
        <w:tab/>
        <w:tab/>
        <w:tab/>
        <w:tab/>
        <w:tab/>
        <w:tab/>
        <w:t xml:space="preserve">Podpis: </w:t>
      </w:r>
    </w:p>
    <w:p>
      <w:pPr>
        <w:pStyle w:val="Normal"/>
        <w:spacing w:lineRule="auto" w:line="360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spacing w:lineRule="auto" w:line="360" w:before="0" w:after="200"/>
        <w:rPr/>
      </w:pPr>
      <w:bookmarkStart w:id="0" w:name="fancybox-left"/>
      <w:bookmarkStart w:id="1" w:name="fancybox-left-ico"/>
      <w:bookmarkEnd w:id="0"/>
      <w:bookmarkEnd w:id="1"/>
      <w:r>
        <w:rPr/>
        <mc:AlternateContent>
          <mc:Choice Requires="wps">
            <w:drawing>
              <wp:inline distT="0" distB="0" distL="0" distR="0">
                <wp:extent cx="1067435" cy="753110"/>
                <wp:effectExtent l="0" t="0" r="0" b="0"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1066680" cy="752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0pt;margin-top:-59.3pt;width:83.95pt;height:59.2pt;mso-position-vertical:top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/>
        <w:t xml:space="preserve">       </w:t>
      </w:r>
      <w:r>
        <w:rPr/>
        <w:drawing>
          <wp:inline distT="0" distB="0" distL="0" distR="0">
            <wp:extent cx="1440180" cy="1252855"/>
            <wp:effectExtent l="0" t="0" r="0" b="0"/>
            <wp:docPr id="2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25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</w:t>
      </w:r>
    </w:p>
    <w:sectPr>
      <w:headerReference w:type="default" r:id="rId4"/>
      <w:footerReference w:type="default" r:id="rId5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Myriad Pro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Myriad Pro CE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6">
              <wp:simplePos x="0" y="0"/>
              <wp:positionH relativeFrom="column">
                <wp:posOffset>3996055</wp:posOffset>
              </wp:positionH>
              <wp:positionV relativeFrom="paragraph">
                <wp:posOffset>-168910</wp:posOffset>
              </wp:positionV>
              <wp:extent cx="1270" cy="313690"/>
              <wp:effectExtent l="0" t="0" r="0" b="0"/>
              <wp:wrapNone/>
              <wp:docPr id="6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" cy="31320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stroked="t" style="position:absolute;margin-left:314.65pt;margin-top:-13.3pt;width:0pt;height:24.6pt" type="shapetype_32">
              <w10:wrap type="none"/>
              <v:fill o:detectmouseclick="t" on="false"/>
              <v:stroke color="black" joinstyle="round" endcap="flat"/>
            </v:shape>
          </w:pict>
        </mc:Fallback>
      </mc:AlternateContent>
      <mc:AlternateContent>
        <mc:Choice Requires="wps">
          <w:drawing>
            <wp:anchor behindDoc="1" distT="0" distB="0" distL="114300" distR="114300" simplePos="0" locked="0" layoutInCell="1" allowOverlap="1" relativeHeight="8">
              <wp:simplePos x="0" y="0"/>
              <wp:positionH relativeFrom="column">
                <wp:posOffset>1691005</wp:posOffset>
              </wp:positionH>
              <wp:positionV relativeFrom="paragraph">
                <wp:posOffset>-168910</wp:posOffset>
              </wp:positionV>
              <wp:extent cx="1270" cy="313690"/>
              <wp:effectExtent l="0" t="0" r="0" b="0"/>
              <wp:wrapNone/>
              <wp:docPr id="7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" cy="31320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stroked="t" style="position:absolute;margin-left:133.15pt;margin-top:-13.3pt;width:0pt;height:24.6pt" type="shapetype_32">
              <w10:wrap type="none"/>
              <v:fill o:detectmouseclick="t" on="false"/>
              <v:stroke color="black" joinstyle="round" endcap="flat"/>
            </v:shape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4">
              <wp:simplePos x="0" y="0"/>
              <wp:positionH relativeFrom="column">
                <wp:posOffset>-90170</wp:posOffset>
              </wp:positionH>
              <wp:positionV relativeFrom="paragraph">
                <wp:posOffset>-169545</wp:posOffset>
              </wp:positionV>
              <wp:extent cx="1562100" cy="209550"/>
              <wp:effectExtent l="0" t="0" r="0" b="0"/>
              <wp:wrapNone/>
              <wp:docPr id="8" name="Rámec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0955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Obsahrmce"/>
                            <w:spacing w:before="0" w:after="200"/>
                            <w:rPr>
                              <w:rFonts w:ascii="Myriad Pro" w:hAnsi="Myriad Pro" w:cs="Myriad Pro"/>
                              <w:b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Myriad Pro" w:ascii="Myriad Pro" w:hAnsi="Myriad Pro"/>
                              <w:b/>
                              <w:bCs/>
                              <w:sz w:val="16"/>
                              <w:szCs w:val="16"/>
                            </w:rPr>
                            <w:t>ConQuest Entertainment, a. s.</w:t>
                          </w:r>
                        </w:p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0;width:123pt;height:16.5pt;mso-wrap-distance-left:9pt;mso-wrap-distance-right:9pt;mso-wrap-distance-top:0pt;mso-wrap-distance-bottom:0pt;margin-top:-13.35pt;mso-position-vertical-relative:text;margin-left:-7.1pt;mso-position-horizontal-relative:text">
              <v:textbox>
                <w:txbxContent>
                  <w:p>
                    <w:pPr>
                      <w:pStyle w:val="Obsahrmce"/>
                      <w:spacing w:before="0" w:after="200"/>
                      <w:rPr>
                        <w:rFonts w:ascii="Myriad Pro" w:hAnsi="Myriad Pro" w:cs="Myriad Pro"/>
                        <w:b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cs="Myriad Pro" w:ascii="Myriad Pro" w:hAnsi="Myriad Pro"/>
                        <w:b/>
                        <w:bCs/>
                        <w:sz w:val="16"/>
                        <w:szCs w:val="16"/>
                      </w:rPr>
                      <w:t>ConQuest Entertainment, a. s.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5">
              <wp:simplePos x="0" y="0"/>
              <wp:positionH relativeFrom="column">
                <wp:posOffset>1852930</wp:posOffset>
              </wp:positionH>
              <wp:positionV relativeFrom="paragraph">
                <wp:posOffset>-169545</wp:posOffset>
              </wp:positionV>
              <wp:extent cx="1724025" cy="609600"/>
              <wp:effectExtent l="0" t="0" r="0" b="0"/>
              <wp:wrapNone/>
              <wp:docPr id="9" name="Rámec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4025" cy="60960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Obsahrmce"/>
                            <w:rPr/>
                          </w:pPr>
                          <w:r>
                            <w:rPr>
                              <w:rFonts w:cs="Myriad Pro CE" w:ascii="Myriad Pro CE" w:hAnsi="Myriad Pro CE"/>
                              <w:sz w:val="16"/>
                              <w:szCs w:val="16"/>
                            </w:rPr>
                            <w:t>Hloubětínská 11</w:t>
                          </w:r>
                          <w:r>
                            <w:rPr>
                              <w:rFonts w:cs="Myriad Pro" w:ascii="Myriad Pro" w:hAnsi="Myriad Pro"/>
                              <w:sz w:val="16"/>
                              <w:szCs w:val="16"/>
                            </w:rPr>
                            <w:t>, 198 00 Praha 9</w:t>
                            <w:br/>
                            <w:t>tel.: 284 000 111, fax: 284 000 101</w:t>
                            <w:br/>
                          </w:r>
                          <w:hyperlink r:id="rId1">
                            <w:r>
                              <w:rPr>
                                <w:rStyle w:val="Internetovodkaz"/>
                                <w:rFonts w:cs="Myriad Pro" w:ascii="Myriad Pro" w:hAnsi="Myriad Pro"/>
                                <w:sz w:val="16"/>
                                <w:szCs w:val="16"/>
                              </w:rPr>
                              <w:t>info@cqe.cz</w:t>
                            </w:r>
                          </w:hyperlink>
                          <w:r>
                            <w:rPr>
                              <w:rFonts w:cs="Myriad Pro" w:ascii="Myriad Pro" w:hAnsi="Myriad Pro"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2">
                            <w:r>
                              <w:rPr>
                                <w:rStyle w:val="Internetovodkaz"/>
                                <w:rFonts w:cs="Myriad Pro" w:ascii="Myriad Pro" w:hAnsi="Myriad Pro"/>
                                <w:sz w:val="16"/>
                                <w:szCs w:val="16"/>
                              </w:rPr>
                              <w:t>www.cqe.cz</w:t>
                            </w:r>
                          </w:hyperlink>
                        </w:p>
                        <w:p>
                          <w:pPr>
                            <w:pStyle w:val="Obsahrmce"/>
                            <w:spacing w:before="0" w:after="200"/>
                            <w:rPr>
                              <w:rFonts w:ascii="Myriad Pro" w:hAnsi="Myriad Pro" w:cs="Myriad Pr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Myriad Pro" w:ascii="Myriad Pro" w:hAnsi="Myriad Pro"/>
                              <w:sz w:val="16"/>
                              <w:szCs w:val="16"/>
                            </w:rPr>
                          </w:r>
                        </w:p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0;width:135.75pt;height:48pt;mso-wrap-distance-left:9pt;mso-wrap-distance-right:9pt;mso-wrap-distance-top:0pt;mso-wrap-distance-bottom:0pt;margin-top:-13.35pt;mso-position-vertical-relative:text;margin-left:145.9pt;mso-position-horizontal-relative:text">
              <v:textbox>
                <w:txbxContent>
                  <w:p>
                    <w:pPr>
                      <w:pStyle w:val="Obsahrmce"/>
                      <w:rPr/>
                    </w:pPr>
                    <w:r>
                      <w:rPr>
                        <w:rFonts w:cs="Myriad Pro CE" w:ascii="Myriad Pro CE" w:hAnsi="Myriad Pro CE"/>
                        <w:sz w:val="16"/>
                        <w:szCs w:val="16"/>
                      </w:rPr>
                      <w:t>Hloubětínská 11</w:t>
                    </w:r>
                    <w:r>
                      <w:rPr>
                        <w:rFonts w:cs="Myriad Pro" w:ascii="Myriad Pro" w:hAnsi="Myriad Pro"/>
                        <w:sz w:val="16"/>
                        <w:szCs w:val="16"/>
                      </w:rPr>
                      <w:t>, 198 00 Praha 9</w:t>
                      <w:br/>
                      <w:t>tel.: 284 000 111, fax: 284 000 101</w:t>
                      <w:br/>
                    </w:r>
                    <w:hyperlink r:id="rId3">
                      <w:r>
                        <w:rPr>
                          <w:rStyle w:val="Internetovodkaz"/>
                          <w:rFonts w:cs="Myriad Pro" w:ascii="Myriad Pro" w:hAnsi="Myriad Pro"/>
                          <w:sz w:val="16"/>
                          <w:szCs w:val="16"/>
                        </w:rPr>
                        <w:t>info@cqe.cz</w:t>
                      </w:r>
                    </w:hyperlink>
                    <w:r>
                      <w:rPr>
                        <w:rFonts w:cs="Myriad Pro" w:ascii="Myriad Pro" w:hAnsi="Myriad Pro"/>
                        <w:sz w:val="16"/>
                        <w:szCs w:val="16"/>
                      </w:rPr>
                      <w:t xml:space="preserve">, </w:t>
                    </w:r>
                    <w:hyperlink r:id="rId4">
                      <w:r>
                        <w:rPr>
                          <w:rStyle w:val="Internetovodkaz"/>
                          <w:rFonts w:cs="Myriad Pro" w:ascii="Myriad Pro" w:hAnsi="Myriad Pro"/>
                          <w:sz w:val="16"/>
                          <w:szCs w:val="16"/>
                        </w:rPr>
                        <w:t>www.cqe.cz</w:t>
                      </w:r>
                    </w:hyperlink>
                  </w:p>
                  <w:p>
                    <w:pPr>
                      <w:pStyle w:val="Obsahrmce"/>
                      <w:spacing w:before="0" w:after="200"/>
                      <w:rPr>
                        <w:rFonts w:ascii="Myriad Pro" w:hAnsi="Myriad Pro" w:cs="Myriad Pro"/>
                        <w:sz w:val="16"/>
                        <w:szCs w:val="16"/>
                      </w:rPr>
                    </w:pPr>
                    <w:r>
                      <w:rPr>
                        <w:rFonts w:cs="Myriad Pro" w:ascii="Myriad Pro" w:hAnsi="Myriad Pro"/>
                        <w:sz w:val="16"/>
                        <w:szCs w:val="16"/>
                      </w:rPr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7">
              <wp:simplePos x="0" y="0"/>
              <wp:positionH relativeFrom="column">
                <wp:posOffset>4138930</wp:posOffset>
              </wp:positionH>
              <wp:positionV relativeFrom="paragraph">
                <wp:posOffset>-169545</wp:posOffset>
              </wp:positionV>
              <wp:extent cx="2133600" cy="466725"/>
              <wp:effectExtent l="0" t="0" r="0" b="0"/>
              <wp:wrapNone/>
              <wp:docPr id="10" name="Rámec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3600" cy="466725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Obsahrmce"/>
                            <w:rPr>
                              <w:rFonts w:ascii="Myriad Pro" w:hAnsi="Myriad Pro" w:cs="Myriad Pr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Myriad Pro CE" w:ascii="Myriad Pro CE" w:hAnsi="Myriad Pro CE"/>
                              <w:sz w:val="16"/>
                              <w:szCs w:val="16"/>
                            </w:rPr>
                            <w:t>IČO: 26467909</w:t>
                            <w:br/>
                            <w:t>DIČ:  0001-26467909</w:t>
                            <w:br/>
                            <w:t>Bankovní spojení u KB: 3064990297/0100</w:t>
                          </w:r>
                        </w:p>
                        <w:p>
                          <w:pPr>
                            <w:pStyle w:val="Obsahrmce"/>
                            <w:spacing w:before="0" w:after="200"/>
                            <w:rPr>
                              <w:rFonts w:ascii="Myriad Pro" w:hAnsi="Myriad Pro" w:cs="Myriad Pr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Myriad Pro" w:ascii="Myriad Pro" w:hAnsi="Myriad Pro"/>
                              <w:sz w:val="16"/>
                              <w:szCs w:val="16"/>
                            </w:rPr>
                          </w:r>
                        </w:p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0;width:168pt;height:36.75pt;mso-wrap-distance-left:9pt;mso-wrap-distance-right:9pt;mso-wrap-distance-top:0pt;mso-wrap-distance-bottom:0pt;margin-top:-13.35pt;mso-position-vertical-relative:text;margin-left:325.9pt;mso-position-horizontal-relative:text">
              <v:textbox>
                <w:txbxContent>
                  <w:p>
                    <w:pPr>
                      <w:pStyle w:val="Obsahrmce"/>
                      <w:rPr>
                        <w:rFonts w:ascii="Myriad Pro" w:hAnsi="Myriad Pro" w:cs="Myriad Pro"/>
                        <w:sz w:val="16"/>
                        <w:szCs w:val="16"/>
                      </w:rPr>
                    </w:pPr>
                    <w:r>
                      <w:rPr>
                        <w:rFonts w:cs="Myriad Pro CE" w:ascii="Myriad Pro CE" w:hAnsi="Myriad Pro CE"/>
                        <w:sz w:val="16"/>
                        <w:szCs w:val="16"/>
                      </w:rPr>
                      <w:t>IČO: 26467909</w:t>
                      <w:br/>
                      <w:t>DIČ:  0001-26467909</w:t>
                      <w:br/>
                      <w:t>Bankovní spojení u KB: 3064990297/0100</w:t>
                    </w:r>
                  </w:p>
                  <w:p>
                    <w:pPr>
                      <w:pStyle w:val="Obsahrmce"/>
                      <w:spacing w:before="0" w:after="200"/>
                      <w:rPr>
                        <w:rFonts w:ascii="Myriad Pro" w:hAnsi="Myriad Pro" w:cs="Myriad Pro"/>
                        <w:sz w:val="16"/>
                        <w:szCs w:val="16"/>
                      </w:rPr>
                    </w:pPr>
                    <w:r>
                      <w:rPr>
                        <w:rFonts w:cs="Myriad Pro" w:ascii="Myriad Pro" w:hAnsi="Myriad Pro"/>
                        <w:sz w:val="16"/>
                        <w:szCs w:val="16"/>
                      </w:rPr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/>
      <mc:AlternateContent>
        <mc:Choice Requires="wps">
          <w:drawing>
            <wp:inline distT="0" distB="0" distL="0" distR="0">
              <wp:extent cx="6163310" cy="753110"/>
              <wp:effectExtent l="0" t="0" r="0" b="0"/>
              <wp:docPr id="4" name="Obrázek 3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ázek 3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6162840" cy="75240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 id="shape_0" ID="Obrázek 3" stroked="f" style="position:absolute;margin-left:0pt;margin-top:-59.3pt;width:485.2pt;height:59.2pt;mso-position-vertical:top" type="shapetype_75">
              <v:imagedata r:id="rId1" o:detectmouseclick="t"/>
              <w10:wrap type="none"/>
              <v:stroke color="#3465a4" joinstyle="round" endcap="flat"/>
            </v:shape>
          </w:pict>
        </mc:Fallback>
      </mc:AlternateContent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column">
                <wp:posOffset>2014855</wp:posOffset>
              </wp:positionH>
              <wp:positionV relativeFrom="paragraph">
                <wp:posOffset>325755</wp:posOffset>
              </wp:positionV>
              <wp:extent cx="1270" cy="457835"/>
              <wp:effectExtent l="0" t="0" r="0" b="0"/>
              <wp:wrapNone/>
              <wp:docPr id="3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" cy="45720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shapetype_32" coordsize="21600,21600" o:spt="32" path="m,l21600,21600nfe">
              <v:stroke joinstyle="miter"/>
              <v:path gradientshapeok="t" o:connecttype="rect" textboxrect="0,0,21600,21600"/>
            </v:shapetype>
            <v:shape id="shape_0" stroked="t" style="position:absolute;margin-left:158.65pt;margin-top:25.65pt;width:0pt;height:35.95pt" type="shapetype_32">
              <w10:wrap type="none"/>
              <v:fill o:detectmouseclick="t" on="false"/>
              <v:stroke color="black" joinstyle="round" endcap="flat"/>
            </v:shape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column">
                <wp:posOffset>2157730</wp:posOffset>
              </wp:positionH>
              <wp:positionV relativeFrom="paragraph">
                <wp:posOffset>278130</wp:posOffset>
              </wp:positionV>
              <wp:extent cx="4048125" cy="504825"/>
              <wp:effectExtent l="0" t="0" r="0" b="0"/>
              <wp:wrapNone/>
              <wp:docPr id="5" name="Rámec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48125" cy="504825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Obsahrmce"/>
                            <w:spacing w:before="0" w:after="200"/>
                            <w:rPr>
                              <w:rFonts w:ascii="Myriad Pro" w:hAnsi="Myriad Pro" w:cs="Myriad Pr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Myriad Pro" w:ascii="Myriad Pro" w:hAnsi="Myriad Pro"/>
                              <w:b/>
                              <w:bCs/>
                              <w:sz w:val="16"/>
                              <w:szCs w:val="16"/>
                            </w:rPr>
                            <w:t>ConQuest Entertainment, a. s.</w:t>
                            <w:br/>
                          </w:r>
                          <w:r>
                            <w:rPr>
                              <w:rFonts w:cs="Myriad Pro CE" w:ascii="Myriad Pro CE" w:hAnsi="Myriad Pro CE"/>
                              <w:sz w:val="16"/>
                              <w:szCs w:val="16"/>
                            </w:rPr>
                            <w:t>Hybernská 1007/20, 111 21 Praha 1, Česká republika</w:t>
                            <w:br/>
                            <w:t>Výpis z obchodního rejstříku, vedeného Městským soudem v Praze oddíl B, vložka 7293.</w:t>
                          </w:r>
                        </w:p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0;width:318.75pt;height:39.75pt;mso-wrap-distance-left:9pt;mso-wrap-distance-right:9pt;mso-wrap-distance-top:0pt;mso-wrap-distance-bottom:0pt;margin-top:21.9pt;mso-position-vertical-relative:text;margin-left:169.9pt;mso-position-horizontal-relative:text">
              <v:textbox>
                <w:txbxContent>
                  <w:p>
                    <w:pPr>
                      <w:pStyle w:val="Obsahrmce"/>
                      <w:spacing w:before="0" w:after="200"/>
                      <w:rPr>
                        <w:rFonts w:ascii="Myriad Pro" w:hAnsi="Myriad Pro" w:cs="Myriad Pro"/>
                        <w:sz w:val="16"/>
                        <w:szCs w:val="16"/>
                      </w:rPr>
                    </w:pPr>
                    <w:r>
                      <w:rPr>
                        <w:rFonts w:cs="Myriad Pro" w:ascii="Myriad Pro" w:hAnsi="Myriad Pro"/>
                        <w:b/>
                        <w:bCs/>
                        <w:sz w:val="16"/>
                        <w:szCs w:val="16"/>
                      </w:rPr>
                      <w:t>ConQuest Entertainment, a. s.</w:t>
                      <w:br/>
                    </w:r>
                    <w:r>
                      <w:rPr>
                        <w:rFonts w:cs="Myriad Pro CE" w:ascii="Myriad Pro CE" w:hAnsi="Myriad Pro CE"/>
                        <w:sz w:val="16"/>
                        <w:szCs w:val="16"/>
                      </w:rPr>
                      <w:t>Hybernská 1007/20, 111 21 Praha 1, Česká republika</w:t>
                      <w:br/>
                      <w:t>Výpis z obchodního rejstříku, vedeného Městským soudem v Praze oddíl B, vložka 7293.</w:t>
                    </w:r>
                  </w:p>
                </w:txbxContent>
              </v:textbox>
            </v:rect>
          </w:pict>
        </mc:Fallback>
      </mc:AlternateContent>
    </w:r>
  </w:p>
  <w:p>
    <w:pPr>
      <w:pStyle w:val="Zhlav"/>
      <w:rPr/>
    </w:pPr>
    <w:r>
      <w:rPr/>
    </w:r>
  </w:p>
  <w:p>
    <w:pPr>
      <w:pStyle w:val="Zhlav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cs-CZ" w:eastAsia="cs-CZ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uiPriority="10" w:semiHidden="0" w:unhideWhenUsed="0" w:qFormat="1"/>
    <w:lsdException w:name="Default Paragraph Font" w:unhideWhenUsed="0"/>
    <w:lsdException w:name="Subtitle" w:uiPriority="11" w:semiHidden="0" w:unhideWhenUsed="0" w:qFormat="1"/>
    <w:lsdException w:name="Hyperlink" w:unhideWhenUsed="0"/>
    <w:lsdException w:name="Strong" w:uiPriority="22" w:semiHidden="0" w:unhideWhenUsed="0" w:qFormat="1"/>
    <w:lsdException w:name="Emphasis" w:uiPriority="20" w:semiHidden="0" w:unhideWhenUsed="0" w:qFormat="1"/>
    <w:lsdException w:name="Balloon Text" w:unhideWhenUsed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3345b"/>
    <w:pPr>
      <w:widowControl/>
      <w:bidi w:val="0"/>
      <w:spacing w:lineRule="auto" w:line="276" w:before="0" w:after="200"/>
      <w:jc w:val="left"/>
    </w:pPr>
    <w:rPr>
      <w:rFonts w:cs="Calibri" w:ascii="Calibri" w:hAnsi="Calibri" w:eastAsia="Calibri"/>
      <w:color w:val="auto"/>
      <w:kern w:val="0"/>
      <w:sz w:val="22"/>
      <w:szCs w:val="22"/>
      <w:lang w:eastAsia="en-US" w:val="cs-CZ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c022d8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c022d8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c022d8"/>
    <w:rPr>
      <w:rFonts w:ascii="Tahoma" w:hAnsi="Tahoma" w:cs="Tahoma"/>
      <w:sz w:val="16"/>
      <w:szCs w:val="16"/>
    </w:rPr>
  </w:style>
  <w:style w:type="character" w:styleId="Internetovodkaz">
    <w:name w:val="Internetový odkaz"/>
    <w:basedOn w:val="DefaultParagraphFont"/>
    <w:uiPriority w:val="99"/>
    <w:rsid w:val="001e3c07"/>
    <w:rPr>
      <w:color w:val="0000FF"/>
      <w:u w:val="single"/>
    </w:rPr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ascii="Myriad Pro" w:hAnsi="Myriad Pro" w:cs="Myriad Pro"/>
      <w:sz w:val="16"/>
      <w:szCs w:val="16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">
    <w:name w:val="Header"/>
    <w:basedOn w:val="Normal"/>
    <w:link w:val="HeaderChar"/>
    <w:uiPriority w:val="99"/>
    <w:rsid w:val="00c022d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FooterChar"/>
    <w:uiPriority w:val="99"/>
    <w:rsid w:val="00c022d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qFormat/>
    <w:rsid w:val="00c022d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3345b"/>
    <w:pPr>
      <w:ind w:left="720" w:hanging="0"/>
    </w:pPr>
    <w:rPr/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info@cqe.cz" TargetMode="External"/><Relationship Id="rId2" Type="http://schemas.openxmlformats.org/officeDocument/2006/relationships/hyperlink" Target="http://www.cqe.cz/" TargetMode="External"/><Relationship Id="rId3" Type="http://schemas.openxmlformats.org/officeDocument/2006/relationships/hyperlink" Target="mailto:info@cqe.cz" TargetMode="External"/><Relationship Id="rId4" Type="http://schemas.openxmlformats.org/officeDocument/2006/relationships/hyperlink" Target="http://www.cqe.cz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253</TotalTime>
  <Application>LibreOffice/6.1.5.2$Windows_X86_64 LibreOffice_project/90f8dcf33c87b3705e78202e3df5142b201bd805</Application>
  <Pages>1</Pages>
  <Words>168</Words>
  <Characters>993</Characters>
  <CharactersWithSpaces>1182</CharactersWithSpaces>
  <Paragraphs>12</Paragraphs>
  <Company>CQe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2015-02-09T09:08:00Z</dcterms:created>
  <dc:creator>SACRVS</dc:creator>
  <dc:description/>
  <dc:language>cs-CZ</dc:language>
  <cp:lastModifiedBy/>
  <cp:lastPrinted>2015-07-03T08:30:00Z</cp:lastPrinted>
  <dcterms:modified xsi:type="dcterms:W3CDTF">2019-10-25T14:06:17Z</dcterms:modified>
  <cp:revision>55</cp:revision>
  <dc:subject/>
  <dc:title>PROHLÁŠENÍ O SHODĚ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CQe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