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BA" w:rsidRPr="003D0BFB" w:rsidRDefault="00616CBA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616CBA" w:rsidRPr="003D0BFB" w:rsidRDefault="00616CBA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616CBA" w:rsidRDefault="00616CBA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616CBA" w:rsidRPr="003D0BFB" w:rsidRDefault="00616CBA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 Report</w:t>
      </w:r>
      <w:r>
        <w:rPr>
          <w:rFonts w:ascii="Tahoma" w:hAnsi="Tahoma" w:cs="Tahoma"/>
        </w:rPr>
        <w:br/>
        <w:t>Reportu T51610262210TC</w:t>
      </w:r>
      <w:r>
        <w:rPr>
          <w:rFonts w:ascii="Tahoma" w:hAnsi="Tahoma" w:cs="Tahoma"/>
        </w:rPr>
        <w:br/>
        <w:t>ze dne 5.11.2016</w:t>
      </w:r>
    </w:p>
    <w:p w:rsidR="00616CBA" w:rsidRPr="003D0BFB" w:rsidRDefault="00616CBA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4D Cityscape INC</w:t>
      </w:r>
    </w:p>
    <w:p w:rsidR="00616CBA" w:rsidRPr="003D0BFB" w:rsidRDefault="00616CBA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4DPuzzle Hra o trůny / Game of Thrones ESSO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1.1 CPSIA section 101 (f) Olovo v barvě/potahovém materiálu</w:t>
      </w:r>
      <w:r>
        <w:rPr>
          <w:rFonts w:ascii="Tahoma" w:hAnsi="Tahoma" w:cs="Tahoma"/>
        </w:rPr>
        <w:br/>
        <w:t>1.2. CPSIA section 101 (a) Olovo v přístupném podkladovém materiálu</w:t>
      </w:r>
      <w:r>
        <w:rPr>
          <w:rFonts w:ascii="Tahoma" w:hAnsi="Tahoma" w:cs="Tahoma"/>
        </w:rPr>
        <w:br/>
        <w:t>2. CPSIA section 108 - Ftaláty</w:t>
      </w:r>
      <w:r>
        <w:rPr>
          <w:rFonts w:ascii="Tahoma" w:hAnsi="Tahoma" w:cs="Tahoma"/>
        </w:rPr>
        <w:br/>
      </w:r>
    </w:p>
    <w:p w:rsidR="00616CBA" w:rsidRPr="003D0BFB" w:rsidRDefault="00616CBA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Radim Kalo</w:t>
      </w:r>
    </w:p>
    <w:p w:rsidR="00616CBA" w:rsidRPr="003D0BFB" w:rsidRDefault="00616CBA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Datum vydání: </w:t>
      </w:r>
      <w:r>
        <w:rPr>
          <w:rFonts w:ascii="Tahoma" w:hAnsi="Tahoma" w:cs="Tahoma"/>
        </w:rPr>
        <w:t>24.2.2017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 xml:space="preserve">Podpis: </w:t>
      </w:r>
    </w:p>
    <w:p w:rsidR="00616CBA" w:rsidRPr="003936E3" w:rsidRDefault="00616CBA" w:rsidP="003D0BFB">
      <w:pPr>
        <w:spacing w:line="360" w:lineRule="auto"/>
        <w:rPr>
          <w:rFonts w:ascii="Tahoma" w:hAnsi="Tahoma" w:cs="Tahoma"/>
        </w:rPr>
      </w:pPr>
      <w:r w:rsidRPr="00FA447E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58.5pt">
            <v:imagedata r:id="rId7" o:title=""/>
          </v:shape>
        </w:pict>
      </w:r>
      <w:r w:rsidRPr="003936E3">
        <w:rPr>
          <w:rFonts w:ascii="Tahoma" w:hAnsi="Tahoma" w:cs="Tahoma"/>
        </w:rPr>
        <w:pict>
          <v:shape id="_x0000_i1028" type="#_x0000_t75" style="width:120pt;height:90pt">
            <v:imagedata r:id="rId8" o:title=""/>
          </v:shape>
        </w:pict>
      </w:r>
    </w:p>
    <w:sectPr w:rsidR="00616CBA" w:rsidRPr="003936E3" w:rsidSect="00B16705">
      <w:headerReference w:type="default" r:id="rId9"/>
      <w:footerReference w:type="default" r:id="rId10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CBA" w:rsidRDefault="00616CBA" w:rsidP="00C022D8">
      <w:pPr>
        <w:spacing w:after="0" w:line="240" w:lineRule="auto"/>
      </w:pPr>
      <w:r>
        <w:separator/>
      </w:r>
    </w:p>
  </w:endnote>
  <w:endnote w:type="continuationSeparator" w:id="0">
    <w:p w:rsidR="00616CBA" w:rsidRDefault="00616CBA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BA" w:rsidRDefault="00616CBA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616CBA" w:rsidRPr="006015BC" w:rsidRDefault="00616CBA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616CBA" w:rsidRDefault="00616CBA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616CBA" w:rsidRPr="001E3C07" w:rsidRDefault="00616CBA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616CBA" w:rsidRDefault="00616CBA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616CBA" w:rsidRPr="001E3C07" w:rsidRDefault="00616CBA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CBA" w:rsidRDefault="00616CBA" w:rsidP="00C022D8">
      <w:pPr>
        <w:spacing w:after="0" w:line="240" w:lineRule="auto"/>
      </w:pPr>
      <w:r>
        <w:separator/>
      </w:r>
    </w:p>
  </w:footnote>
  <w:footnote w:type="continuationSeparator" w:id="0">
    <w:p w:rsidR="00616CBA" w:rsidRDefault="00616CBA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BA" w:rsidRDefault="00616CBA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616CBA" w:rsidRPr="00C022D8" w:rsidRDefault="00616CBA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616CBA" w:rsidRDefault="00616CBA">
    <w:pPr>
      <w:pStyle w:val="Header"/>
    </w:pPr>
  </w:p>
  <w:p w:rsidR="00616CBA" w:rsidRDefault="00616C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12B73"/>
    <w:rsid w:val="000577F3"/>
    <w:rsid w:val="00095A94"/>
    <w:rsid w:val="000C1776"/>
    <w:rsid w:val="000D635B"/>
    <w:rsid w:val="00117AD7"/>
    <w:rsid w:val="001234DD"/>
    <w:rsid w:val="001E1F84"/>
    <w:rsid w:val="001E3C07"/>
    <w:rsid w:val="0020653E"/>
    <w:rsid w:val="00281139"/>
    <w:rsid w:val="002817FE"/>
    <w:rsid w:val="00293AFA"/>
    <w:rsid w:val="00294E1E"/>
    <w:rsid w:val="002C1BD8"/>
    <w:rsid w:val="002D3899"/>
    <w:rsid w:val="00350A11"/>
    <w:rsid w:val="00367B4D"/>
    <w:rsid w:val="003936E3"/>
    <w:rsid w:val="00397168"/>
    <w:rsid w:val="003D0BFB"/>
    <w:rsid w:val="003D502E"/>
    <w:rsid w:val="003E6DC7"/>
    <w:rsid w:val="00437C39"/>
    <w:rsid w:val="00456293"/>
    <w:rsid w:val="004A3C8A"/>
    <w:rsid w:val="004A4269"/>
    <w:rsid w:val="00546FF7"/>
    <w:rsid w:val="005823C3"/>
    <w:rsid w:val="005953F0"/>
    <w:rsid w:val="006015BC"/>
    <w:rsid w:val="0060328E"/>
    <w:rsid w:val="00606B5C"/>
    <w:rsid w:val="00616A07"/>
    <w:rsid w:val="00616CBA"/>
    <w:rsid w:val="00632ED6"/>
    <w:rsid w:val="0065799E"/>
    <w:rsid w:val="00660F9F"/>
    <w:rsid w:val="0067332D"/>
    <w:rsid w:val="006C549C"/>
    <w:rsid w:val="006E5212"/>
    <w:rsid w:val="007104C5"/>
    <w:rsid w:val="00713B14"/>
    <w:rsid w:val="00736851"/>
    <w:rsid w:val="008067B5"/>
    <w:rsid w:val="008368E4"/>
    <w:rsid w:val="008726A1"/>
    <w:rsid w:val="008A01A9"/>
    <w:rsid w:val="00961247"/>
    <w:rsid w:val="00961E3C"/>
    <w:rsid w:val="009C5FC2"/>
    <w:rsid w:val="00A12C30"/>
    <w:rsid w:val="00A27FFC"/>
    <w:rsid w:val="00A302BA"/>
    <w:rsid w:val="00A32C79"/>
    <w:rsid w:val="00B16705"/>
    <w:rsid w:val="00B42ED9"/>
    <w:rsid w:val="00BD3606"/>
    <w:rsid w:val="00BD38A3"/>
    <w:rsid w:val="00C022D8"/>
    <w:rsid w:val="00C311FA"/>
    <w:rsid w:val="00C622CB"/>
    <w:rsid w:val="00CB4690"/>
    <w:rsid w:val="00CE4E27"/>
    <w:rsid w:val="00CE54A0"/>
    <w:rsid w:val="00D32C49"/>
    <w:rsid w:val="00D3345B"/>
    <w:rsid w:val="00D36421"/>
    <w:rsid w:val="00D56A6C"/>
    <w:rsid w:val="00D924F5"/>
    <w:rsid w:val="00DA7E72"/>
    <w:rsid w:val="00DB4147"/>
    <w:rsid w:val="00E6536F"/>
    <w:rsid w:val="00E8540F"/>
    <w:rsid w:val="00E903C7"/>
    <w:rsid w:val="00E9753C"/>
    <w:rsid w:val="00F54391"/>
    <w:rsid w:val="00F60EF7"/>
    <w:rsid w:val="00F65C27"/>
    <w:rsid w:val="00FA1210"/>
    <w:rsid w:val="00FA447E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106</Words>
  <Characters>630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11</cp:revision>
  <cp:lastPrinted>2015-02-04T07:57:00Z</cp:lastPrinted>
  <dcterms:created xsi:type="dcterms:W3CDTF">2015-02-09T09:08:00Z</dcterms:created>
  <dcterms:modified xsi:type="dcterms:W3CDTF">2017-02-27T16:05:00Z</dcterms:modified>
</cp:coreProperties>
</file>