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AB" w:rsidRPr="003D0BFB" w:rsidRDefault="00F26EAB" w:rsidP="003D0BFB">
      <w:pP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ES </w:t>
      </w:r>
      <w:r w:rsidRPr="003D0BFB">
        <w:rPr>
          <w:rFonts w:ascii="Tahoma" w:hAnsi="Tahoma" w:cs="Tahoma"/>
          <w:b/>
          <w:bCs/>
        </w:rPr>
        <w:t>PROHLÁŠENÍ O SHODĚ</w:t>
      </w:r>
    </w:p>
    <w:p w:rsidR="00F26EAB" w:rsidRPr="003D0BFB" w:rsidRDefault="00F26EAB" w:rsidP="00A32C79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>ConQuest entertainment a.s.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Hybernská 1007/20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111 21  Praha 1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IČO: 26467909</w:t>
      </w:r>
      <w:r>
        <w:rPr>
          <w:rFonts w:ascii="Tahoma" w:hAnsi="Tahoma" w:cs="Tahoma"/>
        </w:rPr>
        <w:br/>
      </w:r>
    </w:p>
    <w:p w:rsidR="00F26EAB" w:rsidRDefault="00F26EAB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Tímto potvrzujeme, že dále uvedený</w:t>
      </w:r>
      <w:r w:rsidRPr="003D0BF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výrobek</w:t>
      </w:r>
      <w:r w:rsidRPr="003D0BFB">
        <w:rPr>
          <w:rFonts w:ascii="Tahoma" w:hAnsi="Tahoma" w:cs="Tahoma"/>
        </w:rPr>
        <w:t xml:space="preserve"> je ve svém konečném provedení úplný a odpovídá níže uvedeným směrnicím Evropské unie a České republiky</w:t>
      </w:r>
      <w:r>
        <w:rPr>
          <w:rFonts w:ascii="Tahoma" w:hAnsi="Tahoma" w:cs="Tahoma"/>
        </w:rPr>
        <w:t>. Prohlášení o shodě bylo vystaveno na základě:</w:t>
      </w:r>
    </w:p>
    <w:p w:rsidR="00F26EAB" w:rsidRPr="003D0BFB" w:rsidRDefault="00F26EAB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certifikátu SGS Report</w:t>
      </w:r>
      <w:r>
        <w:rPr>
          <w:rFonts w:ascii="Tahoma" w:hAnsi="Tahoma" w:cs="Tahoma"/>
        </w:rPr>
        <w:br/>
        <w:t>Reportu SZTY1210026942TS</w:t>
      </w:r>
      <w:r>
        <w:rPr>
          <w:rFonts w:ascii="Tahoma" w:hAnsi="Tahoma" w:cs="Tahoma"/>
        </w:rPr>
        <w:br/>
        <w:t>ze dne 24.10.2012</w:t>
      </w:r>
    </w:p>
    <w:p w:rsidR="00F26EAB" w:rsidRPr="003D0BFB" w:rsidRDefault="00F26EAB" w:rsidP="003D0BFB">
      <w:pPr>
        <w:spacing w:line="360" w:lineRule="auto"/>
        <w:rPr>
          <w:rFonts w:ascii="Tahoma" w:hAnsi="Tahoma" w:cs="Tahoma"/>
        </w:rPr>
      </w:pPr>
      <w:r w:rsidRPr="00A32C79">
        <w:rPr>
          <w:rFonts w:ascii="Tahoma" w:hAnsi="Tahoma" w:cs="Tahoma"/>
          <w:b/>
          <w:bCs/>
        </w:rPr>
        <w:t>Výrobce :</w:t>
      </w:r>
      <w:r>
        <w:rPr>
          <w:rFonts w:ascii="Tahoma" w:hAnsi="Tahoma" w:cs="Tahoma"/>
        </w:rPr>
        <w:t xml:space="preserve"> 4D Cityscape INC</w:t>
      </w:r>
    </w:p>
    <w:p w:rsidR="00F26EAB" w:rsidRPr="003D0BFB" w:rsidRDefault="00F26EAB" w:rsidP="003D0BFB">
      <w:pPr>
        <w:spacing w:line="360" w:lineRule="auto"/>
        <w:rPr>
          <w:rFonts w:ascii="Tahoma" w:hAnsi="Tahoma" w:cs="Tahoma"/>
        </w:rPr>
      </w:pPr>
      <w:r w:rsidRPr="00A32C79">
        <w:rPr>
          <w:rFonts w:ascii="Tahoma" w:hAnsi="Tahoma" w:cs="Tahoma"/>
          <w:b/>
          <w:bCs/>
        </w:rPr>
        <w:t>Výrobek:</w:t>
      </w:r>
      <w:r>
        <w:rPr>
          <w:rFonts w:ascii="Tahoma" w:hAnsi="Tahoma" w:cs="Tahoma"/>
        </w:rPr>
        <w:t xml:space="preserve"> 4DPuzzle NEW YORK, USA, PETERSBURG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Výše uvedený výrobek je ve shodě s normami:</w:t>
      </w:r>
      <w:r>
        <w:rPr>
          <w:rFonts w:ascii="Tahoma" w:hAnsi="Tahoma" w:cs="Tahoma"/>
        </w:rPr>
        <w:br/>
        <w:t>EN 71-1: 2011 Mechanický a fyzický test</w:t>
      </w:r>
      <w:r>
        <w:rPr>
          <w:rFonts w:ascii="Tahoma" w:hAnsi="Tahoma" w:cs="Tahoma"/>
        </w:rPr>
        <w:br/>
        <w:t>EN 71-2: 2011 Test hořlavosti</w:t>
      </w:r>
      <w:r>
        <w:rPr>
          <w:rFonts w:ascii="Tahoma" w:hAnsi="Tahoma" w:cs="Tahoma"/>
        </w:rPr>
        <w:br/>
        <w:t>EN 71-3: 1994 + A1:2000 + AC:2002 Analýza toxických prvků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Směrnice:</w:t>
      </w:r>
      <w:r>
        <w:rPr>
          <w:rFonts w:ascii="Tahoma" w:hAnsi="Tahoma" w:cs="Tahoma"/>
        </w:rPr>
        <w:br/>
        <w:t>Produkt odpovídá směrnici NV 86/2011 Sb.</w:t>
      </w:r>
    </w:p>
    <w:p w:rsidR="00F26EAB" w:rsidRPr="003D0BFB" w:rsidRDefault="00F26EAB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 xml:space="preserve">Místo vydání:   </w:t>
      </w:r>
      <w:r>
        <w:rPr>
          <w:rFonts w:ascii="Tahoma" w:hAnsi="Tahoma" w:cs="Tahoma"/>
        </w:rPr>
        <w:t>Praha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  <w:t>Jméno:</w:t>
      </w:r>
      <w:r>
        <w:rPr>
          <w:rFonts w:ascii="Tahoma" w:hAnsi="Tahoma" w:cs="Tahoma"/>
        </w:rPr>
        <w:t xml:space="preserve"> Ing. Josef Kantor</w:t>
      </w:r>
    </w:p>
    <w:p w:rsidR="00F26EAB" w:rsidRPr="003D0BFB" w:rsidRDefault="00F26EAB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 xml:space="preserve">Datum vydání: </w:t>
      </w:r>
      <w:r>
        <w:rPr>
          <w:rFonts w:ascii="Tahoma" w:hAnsi="Tahoma" w:cs="Tahoma"/>
        </w:rPr>
        <w:t>18.3.2014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  <w:t xml:space="preserve">Podpis: </w:t>
      </w:r>
    </w:p>
    <w:p w:rsidR="00F26EAB" w:rsidRPr="003F41E6" w:rsidRDefault="00F26EAB" w:rsidP="003D0BFB">
      <w:pPr>
        <w:spacing w:line="360" w:lineRule="auto"/>
        <w:rPr>
          <w:rFonts w:ascii="Tahoma" w:hAnsi="Tahoma" w:cs="Tahoma"/>
        </w:rPr>
      </w:pPr>
      <w:r w:rsidRPr="008769E0">
        <w:rPr>
          <w:rFonts w:ascii="Tahoma" w:hAnsi="Tahoma" w:cs="Tahom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3.25pt;height:58.5pt">
            <v:imagedata r:id="rId7" o:title=""/>
          </v:shape>
        </w:pict>
      </w:r>
      <w:r w:rsidRPr="008769E0">
        <w:rPr>
          <w:rFonts w:ascii="Tahoma" w:hAnsi="Tahoma" w:cs="Tahoma"/>
        </w:rPr>
        <w:pict>
          <v:shape id="_x0000_i1028" type="#_x0000_t75" style="width:148.5pt;height:142.5pt">
            <v:imagedata r:id="rId8" o:title=""/>
          </v:shape>
        </w:pict>
      </w:r>
      <w:r w:rsidRPr="008769E0">
        <w:rPr>
          <w:rFonts w:ascii="Tahoma" w:hAnsi="Tahoma" w:cs="Tahoma"/>
        </w:rPr>
        <w:pict>
          <v:shape id="_x0000_i1029" type="#_x0000_t75" style="width:148.5pt;height:138pt">
            <v:imagedata r:id="rId9" o:title=""/>
          </v:shape>
        </w:pict>
      </w:r>
      <w:r w:rsidRPr="003F41E6">
        <w:rPr>
          <w:rFonts w:ascii="Tahoma" w:hAnsi="Tahoma" w:cs="Tahoma"/>
        </w:rPr>
        <w:pict>
          <v:shape id="_x0000_i1030" type="#_x0000_t75" style="width:155.25pt;height:152.25pt">
            <v:imagedata r:id="rId10" o:title=""/>
          </v:shape>
        </w:pict>
      </w:r>
    </w:p>
    <w:sectPr w:rsidR="00F26EAB" w:rsidRPr="003F41E6" w:rsidSect="00B16705">
      <w:headerReference w:type="default" r:id="rId11"/>
      <w:footerReference w:type="default" r:id="rId12"/>
      <w:pgSz w:w="11906" w:h="16838" w:code="9"/>
      <w:pgMar w:top="1417" w:right="1080" w:bottom="1417" w:left="1080" w:header="567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EAB" w:rsidRDefault="00F26EAB" w:rsidP="00C022D8">
      <w:pPr>
        <w:spacing w:after="0" w:line="240" w:lineRule="auto"/>
      </w:pPr>
      <w:r>
        <w:separator/>
      </w:r>
    </w:p>
  </w:endnote>
  <w:endnote w:type="continuationSeparator" w:id="0">
    <w:p w:rsidR="00F26EAB" w:rsidRDefault="00F26EAB" w:rsidP="00C0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EAB" w:rsidRDefault="00F26EAB">
    <w:pPr>
      <w:pStyle w:val="Footer"/>
    </w:pPr>
    <w:r>
      <w:rPr>
        <w:noProof/>
        <w:lang w:eastAsia="cs-CZ"/>
      </w:rPr>
      <w:pict>
        <v:rect id="_x0000_s2051" style="position:absolute;margin-left:-7.1pt;margin-top:-13.35pt;width:123pt;height:16.5pt;z-index:251656704" stroked="f">
          <v:textbox style="mso-next-textbox:#_x0000_s2051">
            <w:txbxContent>
              <w:p w:rsidR="00F26EAB" w:rsidRPr="006015BC" w:rsidRDefault="00F26EAB">
                <w:pP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</w:pP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a.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 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</w:p>
            </w:txbxContent>
          </v:textbox>
        </v:rect>
      </w:pict>
    </w:r>
    <w:r>
      <w:rPr>
        <w:noProof/>
        <w:lang w:eastAsia="cs-CZ"/>
      </w:rPr>
      <w:pict>
        <v:rect id="_x0000_s2052" style="position:absolute;margin-left:325.9pt;margin-top:-13.35pt;width:168pt;height:36.75pt;z-index:251659776" stroked="f">
          <v:textbox style="mso-next-textbox:#_x0000_s2052">
            <w:txbxContent>
              <w:p w:rsidR="00F26EAB" w:rsidRDefault="00F26EAB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IČO: 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DIČ:  0001-26467909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Bankovní spojení u KB: 3064990297/0100</w:t>
                </w:r>
              </w:p>
              <w:p w:rsidR="00F26EAB" w:rsidRPr="001E3C07" w:rsidRDefault="00F26EAB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rect id="_x0000_s2053" style="position:absolute;margin-left:145.9pt;margin-top:-13.35pt;width:135.75pt;height:48pt;z-index:251657728" stroked="f">
          <v:textbox style="mso-next-textbox:#_x0000_s2053">
            <w:txbxContent>
              <w:p w:rsidR="00F26EAB" w:rsidRDefault="00F26EAB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1E3C07">
                  <w:rPr>
                    <w:rFonts w:ascii="Myriad Pro CE" w:hAnsi="Myriad Pro CE" w:cs="Myriad Pro CE"/>
                    <w:sz w:val="16"/>
                    <w:szCs w:val="16"/>
                  </w:rPr>
                  <w:t>Hloubětínská 11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t>, 198 00 Praha 9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  <w:t>tel.: 284 000 111, fax: 284 000 101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</w:r>
                <w:hyperlink r:id="rId1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info@cqe.cz</w:t>
                  </w:r>
                </w:hyperlink>
                <w:r>
                  <w:rPr>
                    <w:rFonts w:ascii="Myriad Pro" w:hAnsi="Myriad Pro" w:cs="Myriad Pro"/>
                    <w:sz w:val="16"/>
                    <w:szCs w:val="16"/>
                  </w:rPr>
                  <w:t xml:space="preserve">, </w:t>
                </w:r>
                <w:hyperlink r:id="rId2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www.cqe.cz</w:t>
                  </w:r>
                </w:hyperlink>
              </w:p>
              <w:p w:rsidR="00F26EAB" w:rsidRPr="001E3C07" w:rsidRDefault="00F26EAB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133.15pt;margin-top:-13.35pt;width:0;height:24.65pt;z-index:251660800" o:connectortype="straight"/>
      </w:pict>
    </w:r>
    <w:r>
      <w:rPr>
        <w:noProof/>
        <w:lang w:eastAsia="cs-CZ"/>
      </w:rPr>
      <w:pict>
        <v:shape id="_x0000_s2055" type="#_x0000_t32" style="position:absolute;margin-left:314.65pt;margin-top:-13.35pt;width:0;height:24.65pt;z-index:251658752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EAB" w:rsidRDefault="00F26EAB" w:rsidP="00C022D8">
      <w:pPr>
        <w:spacing w:after="0" w:line="240" w:lineRule="auto"/>
      </w:pPr>
      <w:r>
        <w:separator/>
      </w:r>
    </w:p>
  </w:footnote>
  <w:footnote w:type="continuationSeparator" w:id="0">
    <w:p w:rsidR="00F26EAB" w:rsidRDefault="00F26EAB" w:rsidP="00C02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EAB" w:rsidRDefault="00F26EAB" w:rsidP="00B16705">
    <w:pPr>
      <w:pStyle w:val="Header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58.65pt;margin-top:25.65pt;width:0;height:36pt;z-index:251655680" o:connectortype="straight"/>
      </w:pict>
    </w:r>
    <w:r>
      <w:rPr>
        <w:noProof/>
        <w:lang w:eastAsia="cs-CZ"/>
      </w:rPr>
      <w:pict>
        <v:rect id="_x0000_s2050" style="position:absolute;margin-left:169.9pt;margin-top:21.9pt;width:318.75pt;height:39.75pt;z-index:251654656" stroked="f">
          <v:textbox style="mso-next-textbox:#_x0000_s2050">
            <w:txbxContent>
              <w:p w:rsidR="00F26EAB" w:rsidRPr="00C022D8" w:rsidRDefault="00F26EAB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. 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br/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Hybernská 1007/20, 111 21 Praha 1, Č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t>eská republika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Výpis z obchodního rejstříku, vedeného Městským soudem v Praze oddíl B, vložka 7293.</w:t>
                </w:r>
              </w:p>
            </w:txbxContent>
          </v:textbox>
        </v:rect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6" type="#_x0000_t75" alt="cqe_hlavicka.jpg" style="width:485.25pt;height:59.25pt;visibility:visible">
          <v:imagedata r:id="rId1" o:title=""/>
        </v:shape>
      </w:pict>
    </w:r>
  </w:p>
  <w:p w:rsidR="00F26EAB" w:rsidRDefault="00F26EAB">
    <w:pPr>
      <w:pStyle w:val="Header"/>
    </w:pPr>
  </w:p>
  <w:p w:rsidR="00F26EAB" w:rsidRDefault="00F26E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0A0D"/>
    <w:multiLevelType w:val="hybridMultilevel"/>
    <w:tmpl w:val="9B1A9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2D8"/>
    <w:rsid w:val="00012B73"/>
    <w:rsid w:val="000577F3"/>
    <w:rsid w:val="00090317"/>
    <w:rsid w:val="00095A94"/>
    <w:rsid w:val="000A42CF"/>
    <w:rsid w:val="000C1776"/>
    <w:rsid w:val="000D635B"/>
    <w:rsid w:val="0010124D"/>
    <w:rsid w:val="00117AD7"/>
    <w:rsid w:val="001458DA"/>
    <w:rsid w:val="00184CB7"/>
    <w:rsid w:val="001E1F84"/>
    <w:rsid w:val="001E3C07"/>
    <w:rsid w:val="0020653E"/>
    <w:rsid w:val="002462DC"/>
    <w:rsid w:val="00271B2D"/>
    <w:rsid w:val="002817FE"/>
    <w:rsid w:val="00290B31"/>
    <w:rsid w:val="00293AFA"/>
    <w:rsid w:val="002C1BD8"/>
    <w:rsid w:val="00350A11"/>
    <w:rsid w:val="00367B4D"/>
    <w:rsid w:val="00383338"/>
    <w:rsid w:val="00397168"/>
    <w:rsid w:val="003D0BFB"/>
    <w:rsid w:val="003F41E6"/>
    <w:rsid w:val="00437C39"/>
    <w:rsid w:val="00456293"/>
    <w:rsid w:val="00480C58"/>
    <w:rsid w:val="004A3C8A"/>
    <w:rsid w:val="004A4269"/>
    <w:rsid w:val="00546FF7"/>
    <w:rsid w:val="00550124"/>
    <w:rsid w:val="005823C3"/>
    <w:rsid w:val="005953F0"/>
    <w:rsid w:val="006015BC"/>
    <w:rsid w:val="00606B5C"/>
    <w:rsid w:val="00616A07"/>
    <w:rsid w:val="00632ED6"/>
    <w:rsid w:val="00655513"/>
    <w:rsid w:val="0065799E"/>
    <w:rsid w:val="00660F9F"/>
    <w:rsid w:val="0067332D"/>
    <w:rsid w:val="006C549C"/>
    <w:rsid w:val="006E5212"/>
    <w:rsid w:val="007104C5"/>
    <w:rsid w:val="00713B14"/>
    <w:rsid w:val="007B3BCF"/>
    <w:rsid w:val="008067B5"/>
    <w:rsid w:val="008368E4"/>
    <w:rsid w:val="00847723"/>
    <w:rsid w:val="008726A1"/>
    <w:rsid w:val="008769E0"/>
    <w:rsid w:val="008A01A9"/>
    <w:rsid w:val="008F1A2F"/>
    <w:rsid w:val="008F6B65"/>
    <w:rsid w:val="00961E3C"/>
    <w:rsid w:val="00965558"/>
    <w:rsid w:val="009C5FC2"/>
    <w:rsid w:val="009D6357"/>
    <w:rsid w:val="00A12C30"/>
    <w:rsid w:val="00A27FFC"/>
    <w:rsid w:val="00A302BA"/>
    <w:rsid w:val="00A32C79"/>
    <w:rsid w:val="00A34348"/>
    <w:rsid w:val="00B16705"/>
    <w:rsid w:val="00B332E4"/>
    <w:rsid w:val="00B42ED9"/>
    <w:rsid w:val="00BD3606"/>
    <w:rsid w:val="00C022D8"/>
    <w:rsid w:val="00C16665"/>
    <w:rsid w:val="00C311FA"/>
    <w:rsid w:val="00CB4690"/>
    <w:rsid w:val="00CC0FDC"/>
    <w:rsid w:val="00CE4E27"/>
    <w:rsid w:val="00CE54A0"/>
    <w:rsid w:val="00D32C49"/>
    <w:rsid w:val="00D3345B"/>
    <w:rsid w:val="00D36421"/>
    <w:rsid w:val="00D56A6C"/>
    <w:rsid w:val="00D924F5"/>
    <w:rsid w:val="00DA7E72"/>
    <w:rsid w:val="00DB4147"/>
    <w:rsid w:val="00DB5B73"/>
    <w:rsid w:val="00DC6528"/>
    <w:rsid w:val="00E5571C"/>
    <w:rsid w:val="00E65888"/>
    <w:rsid w:val="00E903C7"/>
    <w:rsid w:val="00E9753C"/>
    <w:rsid w:val="00F15190"/>
    <w:rsid w:val="00F26EAB"/>
    <w:rsid w:val="00F54391"/>
    <w:rsid w:val="00F60EF7"/>
    <w:rsid w:val="00F65C27"/>
    <w:rsid w:val="00F773EB"/>
    <w:rsid w:val="00FA1210"/>
    <w:rsid w:val="00FE54B5"/>
    <w:rsid w:val="00F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2D8"/>
  </w:style>
  <w:style w:type="paragraph" w:styleId="Footer">
    <w:name w:val="footer"/>
    <w:basedOn w:val="Normal"/>
    <w:link w:val="Foot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2D8"/>
  </w:style>
  <w:style w:type="paragraph" w:styleId="BalloonText">
    <w:name w:val="Balloon Text"/>
    <w:basedOn w:val="Normal"/>
    <w:link w:val="BalloonTextChar"/>
    <w:uiPriority w:val="99"/>
    <w:semiHidden/>
    <w:rsid w:val="00C0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E3C0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3345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qe.cz" TargetMode="External"/><Relationship Id="rId1" Type="http://schemas.openxmlformats.org/officeDocument/2006/relationships/hyperlink" Target="mailto:info@cq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</Pages>
  <Words>109</Words>
  <Characters>645</Characters>
  <Application>Microsoft Office Outlook</Application>
  <DocSecurity>0</DocSecurity>
  <Lines>0</Lines>
  <Paragraphs>0</Paragraphs>
  <ScaleCrop>false</ScaleCrop>
  <Company>CQe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SHODĚ</dc:title>
  <dc:subject/>
  <dc:creator>SACRVS</dc:creator>
  <cp:keywords/>
  <dc:description/>
  <cp:lastModifiedBy>Jenikovska</cp:lastModifiedBy>
  <cp:revision>13</cp:revision>
  <cp:lastPrinted>2015-02-04T07:57:00Z</cp:lastPrinted>
  <dcterms:created xsi:type="dcterms:W3CDTF">2015-02-09T09:08:00Z</dcterms:created>
  <dcterms:modified xsi:type="dcterms:W3CDTF">2019-08-09T11:36:00Z</dcterms:modified>
</cp:coreProperties>
</file>